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20" w:rsidRDefault="00277720"/>
    <w:tbl>
      <w:tblPr>
        <w:tblW w:w="9072"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127"/>
        <w:gridCol w:w="4536"/>
        <w:gridCol w:w="2409"/>
      </w:tblGrid>
      <w:tr w:rsidR="00860998" w:rsidRPr="00F07F05" w:rsidTr="00CB764F">
        <w:trPr>
          <w:trHeight w:val="686"/>
        </w:trPr>
        <w:tc>
          <w:tcPr>
            <w:tcW w:w="2127" w:type="dxa"/>
            <w:vMerge w:val="restart"/>
            <w:shd w:val="clear" w:color="auto" w:fill="auto"/>
            <w:vAlign w:val="center"/>
          </w:tcPr>
          <w:p w:rsidR="00860998" w:rsidRPr="00860998" w:rsidRDefault="001F477D" w:rsidP="001F477D">
            <w:pPr>
              <w:ind w:left="-108"/>
              <w:jc w:val="center"/>
              <w:rPr>
                <w:rFonts w:ascii="Calibri Light" w:hAnsi="Calibri Light" w:cs="Arial"/>
                <w:sz w:val="20"/>
                <w:szCs w:val="20"/>
              </w:rPr>
            </w:pPr>
            <w:r>
              <w:rPr>
                <w:noProof/>
                <w:color w:val="0000FF"/>
                <w:lang w:eastAsia="en-GB"/>
              </w:rPr>
              <w:drawing>
                <wp:inline distT="0" distB="0" distL="0" distR="0" wp14:anchorId="286BC130" wp14:editId="48DF1D56">
                  <wp:extent cx="1374835" cy="485775"/>
                  <wp:effectExtent l="0" t="0" r="0" b="0"/>
                  <wp:docPr id="3" name="Picture 3" descr="https://www.ahcs.ac.uk/wordpress/wp-content/uploads/2014/05/IQIPSlogo-300x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ahcs.ac.uk/wordpress/wp-content/uploads/2014/05/IQIPSlogo-300x106.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4835" cy="485775"/>
                          </a:xfrm>
                          <a:prstGeom prst="rect">
                            <a:avLst/>
                          </a:prstGeom>
                          <a:noFill/>
                          <a:ln>
                            <a:noFill/>
                          </a:ln>
                        </pic:spPr>
                      </pic:pic>
                    </a:graphicData>
                  </a:graphic>
                </wp:inline>
              </w:drawing>
            </w:r>
          </w:p>
        </w:tc>
        <w:tc>
          <w:tcPr>
            <w:tcW w:w="4536" w:type="dxa"/>
            <w:shd w:val="clear" w:color="auto" w:fill="auto"/>
            <w:vAlign w:val="center"/>
          </w:tcPr>
          <w:p w:rsidR="00860998" w:rsidRPr="00F07F05" w:rsidRDefault="00860998" w:rsidP="00CB764F">
            <w:pPr>
              <w:rPr>
                <w:rFonts w:ascii="Arial" w:hAnsi="Arial" w:cs="Arial"/>
                <w:b/>
                <w:color w:val="17365D"/>
                <w:sz w:val="34"/>
                <w:szCs w:val="34"/>
              </w:rPr>
            </w:pPr>
            <w:r w:rsidRPr="00F07F05">
              <w:rPr>
                <w:rFonts w:ascii="Arial" w:hAnsi="Arial" w:cs="Arial"/>
                <w:b/>
                <w:color w:val="17365D"/>
                <w:sz w:val="34"/>
                <w:szCs w:val="34"/>
              </w:rPr>
              <w:t>Clinical Physics</w:t>
            </w:r>
          </w:p>
        </w:tc>
        <w:tc>
          <w:tcPr>
            <w:tcW w:w="2409" w:type="dxa"/>
            <w:shd w:val="clear" w:color="auto" w:fill="auto"/>
            <w:vAlign w:val="center"/>
          </w:tcPr>
          <w:p w:rsidR="00860998" w:rsidRPr="00F07F05" w:rsidRDefault="00860998" w:rsidP="00CB764F">
            <w:pPr>
              <w:jc w:val="center"/>
              <w:rPr>
                <w:rFonts w:cs="Arial"/>
                <w:sz w:val="20"/>
                <w:szCs w:val="20"/>
              </w:rPr>
            </w:pPr>
            <w:r>
              <w:rPr>
                <w:noProof/>
                <w:sz w:val="20"/>
                <w:szCs w:val="20"/>
                <w:lang w:eastAsia="en-GB"/>
              </w:rPr>
              <w:drawing>
                <wp:inline distT="0" distB="0" distL="0" distR="0" wp14:anchorId="32755059" wp14:editId="59983395">
                  <wp:extent cx="134302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025" cy="295275"/>
                          </a:xfrm>
                          <a:prstGeom prst="rect">
                            <a:avLst/>
                          </a:prstGeom>
                          <a:noFill/>
                          <a:ln>
                            <a:noFill/>
                          </a:ln>
                        </pic:spPr>
                      </pic:pic>
                    </a:graphicData>
                  </a:graphic>
                </wp:inline>
              </w:drawing>
            </w:r>
          </w:p>
        </w:tc>
      </w:tr>
      <w:tr w:rsidR="00860998" w:rsidRPr="00F07F05" w:rsidTr="00CB764F">
        <w:trPr>
          <w:trHeight w:val="385"/>
        </w:trPr>
        <w:tc>
          <w:tcPr>
            <w:tcW w:w="2127" w:type="dxa"/>
            <w:vMerge/>
            <w:shd w:val="clear" w:color="auto" w:fill="auto"/>
            <w:vAlign w:val="center"/>
          </w:tcPr>
          <w:p w:rsidR="00860998" w:rsidRPr="00F07F05" w:rsidRDefault="00860998" w:rsidP="00CB764F">
            <w:pPr>
              <w:jc w:val="center"/>
              <w:rPr>
                <w:rFonts w:cs="Arial"/>
                <w:sz w:val="20"/>
                <w:szCs w:val="20"/>
              </w:rPr>
            </w:pPr>
          </w:p>
        </w:tc>
        <w:tc>
          <w:tcPr>
            <w:tcW w:w="6945" w:type="dxa"/>
            <w:gridSpan w:val="2"/>
            <w:shd w:val="clear" w:color="auto" w:fill="auto"/>
            <w:vAlign w:val="center"/>
          </w:tcPr>
          <w:p w:rsidR="00860998" w:rsidRPr="00F07F05" w:rsidRDefault="00860998" w:rsidP="0031389E">
            <w:pPr>
              <w:rPr>
                <w:rFonts w:ascii="Arial" w:hAnsi="Arial" w:cs="Arial"/>
                <w:sz w:val="25"/>
                <w:szCs w:val="25"/>
              </w:rPr>
            </w:pPr>
            <w:r>
              <w:rPr>
                <w:rFonts w:ascii="Arial" w:hAnsi="Arial" w:cs="Arial"/>
                <w:b/>
                <w:sz w:val="25"/>
                <w:szCs w:val="25"/>
              </w:rPr>
              <w:t xml:space="preserve">Name of Department: </w:t>
            </w:r>
            <w:r w:rsidR="0031389E">
              <w:rPr>
                <w:rFonts w:ascii="Arial" w:hAnsi="Arial" w:cs="Arial"/>
                <w:b/>
                <w:sz w:val="25"/>
                <w:szCs w:val="25"/>
              </w:rPr>
              <w:t>Vascular Ultrasound</w:t>
            </w:r>
          </w:p>
        </w:tc>
      </w:tr>
    </w:tbl>
    <w:p w:rsidR="00B01B18" w:rsidRDefault="00B01B18"/>
    <w:p w:rsidR="00061908" w:rsidRPr="00251F50" w:rsidRDefault="00061908" w:rsidP="00061908">
      <w:pPr>
        <w:pStyle w:val="Heading1"/>
        <w:rPr>
          <w:sz w:val="24"/>
          <w:szCs w:val="24"/>
          <w:u w:val="single"/>
        </w:rPr>
      </w:pPr>
      <w:r>
        <w:rPr>
          <w:sz w:val="24"/>
          <w:szCs w:val="24"/>
          <w:u w:val="single"/>
        </w:rPr>
        <w:t>Lower Limb Venous Duplex</w:t>
      </w:r>
    </w:p>
    <w:p w:rsidR="00061908" w:rsidRPr="00B620C5" w:rsidRDefault="00061908" w:rsidP="00061908">
      <w:pPr>
        <w:jc w:val="both"/>
        <w:rPr>
          <w:rFonts w:ascii="Arial" w:hAnsi="Arial"/>
          <w:b/>
          <w:sz w:val="22"/>
          <w:szCs w:val="22"/>
          <w:u w:val="single"/>
        </w:rPr>
      </w:pPr>
    </w:p>
    <w:p w:rsidR="00061908" w:rsidRPr="00251F50" w:rsidRDefault="00061908" w:rsidP="00061908">
      <w:pPr>
        <w:spacing w:line="360" w:lineRule="auto"/>
        <w:ind w:left="2880" w:hanging="2880"/>
        <w:jc w:val="both"/>
        <w:rPr>
          <w:rFonts w:ascii="Arial" w:hAnsi="Arial"/>
          <w:b/>
        </w:rPr>
      </w:pPr>
      <w:r w:rsidRPr="00251F50">
        <w:rPr>
          <w:rFonts w:ascii="Arial" w:hAnsi="Arial"/>
          <w:b/>
        </w:rPr>
        <w:t>Patient Preparation:</w:t>
      </w:r>
    </w:p>
    <w:p w:rsidR="00061908" w:rsidRPr="00061908" w:rsidRDefault="00061908" w:rsidP="00061908">
      <w:pPr>
        <w:spacing w:line="360" w:lineRule="auto"/>
        <w:ind w:left="2880" w:hanging="2880"/>
        <w:jc w:val="both"/>
        <w:rPr>
          <w:rFonts w:ascii="Arial" w:hAnsi="Arial"/>
          <w:sz w:val="20"/>
          <w:szCs w:val="20"/>
        </w:rPr>
      </w:pPr>
      <w:r w:rsidRPr="00061908">
        <w:rPr>
          <w:rFonts w:ascii="Arial" w:hAnsi="Arial"/>
          <w:sz w:val="20"/>
          <w:szCs w:val="20"/>
        </w:rPr>
        <w:t xml:space="preserve">Check patients identification </w:t>
      </w:r>
    </w:p>
    <w:p w:rsidR="00061908" w:rsidRPr="00061908" w:rsidRDefault="00061908" w:rsidP="00061908">
      <w:pPr>
        <w:spacing w:line="360" w:lineRule="auto"/>
        <w:ind w:left="2880" w:hanging="2880"/>
        <w:jc w:val="both"/>
        <w:rPr>
          <w:rFonts w:ascii="Arial" w:hAnsi="Arial"/>
          <w:sz w:val="20"/>
          <w:szCs w:val="20"/>
        </w:rPr>
      </w:pPr>
      <w:r w:rsidRPr="00061908">
        <w:rPr>
          <w:rFonts w:ascii="Arial" w:hAnsi="Arial"/>
          <w:sz w:val="20"/>
          <w:szCs w:val="20"/>
        </w:rPr>
        <w:t>Explain test procedure</w:t>
      </w:r>
    </w:p>
    <w:p w:rsidR="00061908" w:rsidRPr="00061908" w:rsidRDefault="00061908" w:rsidP="00061908">
      <w:pPr>
        <w:spacing w:line="360" w:lineRule="auto"/>
        <w:ind w:left="2880" w:hanging="2880"/>
        <w:jc w:val="both"/>
        <w:rPr>
          <w:rFonts w:ascii="Arial" w:hAnsi="Arial" w:cs="Arial"/>
          <w:sz w:val="20"/>
          <w:szCs w:val="20"/>
        </w:rPr>
      </w:pPr>
      <w:r w:rsidRPr="00061908">
        <w:rPr>
          <w:rFonts w:ascii="Arial" w:hAnsi="Arial" w:cs="Arial"/>
          <w:sz w:val="20"/>
          <w:szCs w:val="20"/>
        </w:rPr>
        <w:t>Obtain verbal consent or implied consent (if patient gets undressed / lies down for scan)</w:t>
      </w:r>
    </w:p>
    <w:p w:rsidR="00061908" w:rsidRPr="00061908" w:rsidRDefault="00061908" w:rsidP="00061908">
      <w:pPr>
        <w:spacing w:line="360" w:lineRule="auto"/>
        <w:ind w:left="2880" w:hanging="2880"/>
        <w:jc w:val="both"/>
        <w:rPr>
          <w:rFonts w:ascii="Arial" w:hAnsi="Arial"/>
          <w:sz w:val="20"/>
          <w:szCs w:val="20"/>
        </w:rPr>
      </w:pPr>
      <w:r w:rsidRPr="00061908">
        <w:rPr>
          <w:rFonts w:ascii="Arial" w:hAnsi="Arial"/>
          <w:sz w:val="20"/>
          <w:szCs w:val="20"/>
        </w:rPr>
        <w:t>Take relevant history from patient</w:t>
      </w:r>
    </w:p>
    <w:p w:rsidR="00061908" w:rsidRPr="00061908" w:rsidRDefault="00061908" w:rsidP="00061908">
      <w:pPr>
        <w:spacing w:line="360" w:lineRule="auto"/>
        <w:ind w:left="2880" w:hanging="2880"/>
        <w:jc w:val="both"/>
        <w:rPr>
          <w:rFonts w:ascii="Arial" w:hAnsi="Arial"/>
          <w:sz w:val="20"/>
          <w:szCs w:val="20"/>
        </w:rPr>
      </w:pPr>
      <w:r w:rsidRPr="00061908">
        <w:rPr>
          <w:rFonts w:ascii="Arial" w:hAnsi="Arial"/>
          <w:sz w:val="20"/>
          <w:szCs w:val="20"/>
        </w:rPr>
        <w:t>Ask patient to undress as appropriate</w:t>
      </w:r>
    </w:p>
    <w:p w:rsidR="00061908" w:rsidRPr="00061908" w:rsidRDefault="00061908" w:rsidP="00061908">
      <w:pPr>
        <w:spacing w:line="360" w:lineRule="auto"/>
        <w:ind w:left="2880" w:hanging="2880"/>
        <w:jc w:val="both"/>
        <w:rPr>
          <w:rFonts w:ascii="Arial" w:hAnsi="Arial"/>
          <w:sz w:val="20"/>
          <w:szCs w:val="20"/>
        </w:rPr>
      </w:pPr>
    </w:p>
    <w:p w:rsidR="00061908" w:rsidRPr="00251F50" w:rsidRDefault="00061908" w:rsidP="00061908">
      <w:pPr>
        <w:spacing w:line="360" w:lineRule="auto"/>
        <w:ind w:left="2880" w:hanging="2880"/>
        <w:jc w:val="both"/>
        <w:rPr>
          <w:rFonts w:ascii="Arial" w:hAnsi="Arial"/>
        </w:rPr>
      </w:pPr>
      <w:r w:rsidRPr="00251F50">
        <w:rPr>
          <w:rFonts w:ascii="Arial" w:hAnsi="Arial"/>
          <w:b/>
        </w:rPr>
        <w:t>Scanner Preparation:</w:t>
      </w:r>
    </w:p>
    <w:p w:rsidR="00416029" w:rsidRPr="00416029" w:rsidRDefault="00416029" w:rsidP="00416029">
      <w:pPr>
        <w:spacing w:line="360" w:lineRule="auto"/>
        <w:rPr>
          <w:rFonts w:ascii="Arial" w:hAnsi="Arial"/>
          <w:sz w:val="20"/>
          <w:szCs w:val="20"/>
        </w:rPr>
      </w:pPr>
      <w:r w:rsidRPr="00416029">
        <w:rPr>
          <w:rFonts w:ascii="Arial" w:hAnsi="Arial"/>
          <w:sz w:val="20"/>
          <w:szCs w:val="20"/>
        </w:rPr>
        <w:t>The probes should be cleaned with T-Spray (which must be allowed to dry on the probe for 10 minutes). Alternatively</w:t>
      </w:r>
      <w:r>
        <w:rPr>
          <w:rFonts w:ascii="Arial" w:hAnsi="Arial"/>
          <w:sz w:val="20"/>
          <w:szCs w:val="20"/>
        </w:rPr>
        <w:t>,</w:t>
      </w:r>
      <w:r w:rsidRPr="00416029">
        <w:rPr>
          <w:rFonts w:ascii="Arial" w:hAnsi="Arial"/>
          <w:sz w:val="20"/>
          <w:szCs w:val="20"/>
        </w:rPr>
        <w:t xml:space="preserve"> </w:t>
      </w:r>
      <w:proofErr w:type="spellStart"/>
      <w:r>
        <w:rPr>
          <w:rFonts w:ascii="Arial" w:hAnsi="Arial"/>
          <w:sz w:val="20"/>
          <w:szCs w:val="20"/>
        </w:rPr>
        <w:t>Distel</w:t>
      </w:r>
      <w:proofErr w:type="spellEnd"/>
      <w:r>
        <w:rPr>
          <w:rFonts w:ascii="Arial" w:hAnsi="Arial"/>
          <w:sz w:val="20"/>
          <w:szCs w:val="20"/>
        </w:rPr>
        <w:t xml:space="preserve"> disinfectant</w:t>
      </w:r>
      <w:r w:rsidRPr="00416029">
        <w:rPr>
          <w:rFonts w:ascii="Arial" w:hAnsi="Arial"/>
          <w:sz w:val="20"/>
          <w:szCs w:val="20"/>
        </w:rPr>
        <w:t xml:space="preserve"> wipes can be used to clean probes for immediate use, in between patients. After scanning an infectious patient, the room should be deep cleaned (order though the helpdesk) and the scanner cleaned according to the manufacturer’s protocol. </w:t>
      </w:r>
    </w:p>
    <w:p w:rsidR="00061908" w:rsidRDefault="00061908" w:rsidP="00061908">
      <w:pPr>
        <w:spacing w:line="360" w:lineRule="auto"/>
        <w:ind w:left="2880" w:hanging="2880"/>
        <w:jc w:val="both"/>
        <w:rPr>
          <w:rFonts w:ascii="Arial" w:hAnsi="Arial"/>
          <w:b/>
          <w:sz w:val="22"/>
          <w:szCs w:val="22"/>
          <w:u w:val="single"/>
        </w:rPr>
      </w:pPr>
    </w:p>
    <w:p w:rsidR="00061908" w:rsidRPr="00AD46CF" w:rsidRDefault="00061908" w:rsidP="00061908">
      <w:pPr>
        <w:spacing w:line="360" w:lineRule="auto"/>
        <w:ind w:left="2880" w:hanging="2880"/>
        <w:jc w:val="both"/>
        <w:rPr>
          <w:rFonts w:ascii="Arial" w:hAnsi="Arial"/>
          <w:b/>
        </w:rPr>
      </w:pPr>
      <w:r w:rsidRPr="00AD46CF">
        <w:rPr>
          <w:rFonts w:ascii="Arial" w:hAnsi="Arial"/>
          <w:b/>
        </w:rPr>
        <w:t>Procedure:</w:t>
      </w:r>
    </w:p>
    <w:p w:rsidR="00061908" w:rsidRDefault="00061908" w:rsidP="00061908">
      <w:pPr>
        <w:pStyle w:val="BodyText"/>
        <w:numPr>
          <w:ilvl w:val="0"/>
          <w:numId w:val="1"/>
        </w:numPr>
        <w:spacing w:line="360" w:lineRule="auto"/>
        <w:rPr>
          <w:sz w:val="20"/>
        </w:rPr>
      </w:pPr>
      <w:r>
        <w:rPr>
          <w:sz w:val="20"/>
        </w:rPr>
        <w:t>The patient should ideally be scanned standing bearing weight on the contralateral limb</w:t>
      </w:r>
      <w:r w:rsidRPr="00AB34B5">
        <w:rPr>
          <w:sz w:val="20"/>
        </w:rPr>
        <w:t xml:space="preserve"> </w:t>
      </w:r>
      <w:r w:rsidRPr="00AD46CF">
        <w:rPr>
          <w:sz w:val="20"/>
        </w:rPr>
        <w:t>to encourage venous dilatation</w:t>
      </w:r>
      <w:r>
        <w:rPr>
          <w:sz w:val="20"/>
        </w:rPr>
        <w:t xml:space="preserve">. </w:t>
      </w:r>
      <w:r w:rsidRPr="00AD46CF">
        <w:rPr>
          <w:sz w:val="20"/>
        </w:rPr>
        <w:t xml:space="preserve">If the patient cannot stand they should sit with the bed elevated and their legs hanging down, facing the sonographer – assessment of the </w:t>
      </w:r>
      <w:r>
        <w:rPr>
          <w:sz w:val="20"/>
        </w:rPr>
        <w:t xml:space="preserve">common femoral vein (CFV) </w:t>
      </w:r>
      <w:r w:rsidRPr="00AD46CF">
        <w:rPr>
          <w:sz w:val="20"/>
        </w:rPr>
        <w:t xml:space="preserve">and </w:t>
      </w:r>
      <w:proofErr w:type="spellStart"/>
      <w:r>
        <w:rPr>
          <w:sz w:val="20"/>
        </w:rPr>
        <w:t>sapheno</w:t>
      </w:r>
      <w:proofErr w:type="spellEnd"/>
      <w:r>
        <w:rPr>
          <w:sz w:val="20"/>
        </w:rPr>
        <w:t>-femoral junction (</w:t>
      </w:r>
      <w:r w:rsidRPr="00AD46CF">
        <w:rPr>
          <w:sz w:val="20"/>
        </w:rPr>
        <w:t>SFJ</w:t>
      </w:r>
      <w:r>
        <w:rPr>
          <w:sz w:val="20"/>
        </w:rPr>
        <w:t>)</w:t>
      </w:r>
      <w:r w:rsidRPr="00AD46CF">
        <w:rPr>
          <w:sz w:val="20"/>
        </w:rPr>
        <w:t xml:space="preserve"> might not be possible with the patient in this position.</w:t>
      </w:r>
      <w:r>
        <w:rPr>
          <w:sz w:val="20"/>
        </w:rPr>
        <w:t xml:space="preserve"> </w:t>
      </w:r>
      <w:r w:rsidRPr="00AD46CF">
        <w:rPr>
          <w:sz w:val="20"/>
        </w:rPr>
        <w:t>Venous scans for varicose veins/venous ulceration/venous insufficiency cannot be performed on a supine or prone patient.</w:t>
      </w:r>
    </w:p>
    <w:p w:rsidR="00061908" w:rsidRDefault="00061908" w:rsidP="00061908">
      <w:pPr>
        <w:pStyle w:val="BodyText"/>
        <w:numPr>
          <w:ilvl w:val="0"/>
          <w:numId w:val="1"/>
        </w:numPr>
        <w:spacing w:line="360" w:lineRule="auto"/>
        <w:rPr>
          <w:sz w:val="20"/>
        </w:rPr>
      </w:pPr>
      <w:r>
        <w:rPr>
          <w:sz w:val="20"/>
        </w:rPr>
        <w:t>The CFV, s</w:t>
      </w:r>
      <w:r w:rsidR="00277720">
        <w:rPr>
          <w:sz w:val="20"/>
        </w:rPr>
        <w:t>uperficial femoral vein (SFV), PFV confluence and</w:t>
      </w:r>
      <w:r>
        <w:rPr>
          <w:sz w:val="20"/>
        </w:rPr>
        <w:t xml:space="preserve"> popliteal vein should be imaged for patency and competency. Any evidence of acute or chronic DVT should be noted. Only if specifically requested would the calf deep veins be imaged for patency and competency. </w:t>
      </w:r>
    </w:p>
    <w:p w:rsidR="00061908" w:rsidRPr="00AD46CF" w:rsidRDefault="00061908" w:rsidP="00061908">
      <w:pPr>
        <w:pStyle w:val="BodyText"/>
        <w:numPr>
          <w:ilvl w:val="0"/>
          <w:numId w:val="1"/>
        </w:numPr>
        <w:spacing w:line="360" w:lineRule="auto"/>
        <w:rPr>
          <w:sz w:val="20"/>
        </w:rPr>
      </w:pPr>
      <w:r>
        <w:rPr>
          <w:sz w:val="20"/>
        </w:rPr>
        <w:t>The SFJ,</w:t>
      </w:r>
      <w:r w:rsidRPr="00AD46CF">
        <w:rPr>
          <w:sz w:val="20"/>
        </w:rPr>
        <w:t xml:space="preserve"> </w:t>
      </w:r>
      <w:r>
        <w:rPr>
          <w:sz w:val="20"/>
        </w:rPr>
        <w:t>long saphenous vein (</w:t>
      </w:r>
      <w:r w:rsidRPr="00AD46CF">
        <w:rPr>
          <w:sz w:val="20"/>
        </w:rPr>
        <w:t>LSV</w:t>
      </w:r>
      <w:r>
        <w:rPr>
          <w:sz w:val="20"/>
        </w:rPr>
        <w:t xml:space="preserve">) and </w:t>
      </w:r>
      <w:r w:rsidRPr="00AD46CF">
        <w:rPr>
          <w:sz w:val="20"/>
        </w:rPr>
        <w:t>perforators (if present) are assessed for competency.  If reflux is found, the diameter of the superficial vein or perforator should be noted and reported.  If any incompetent perforators are found their location should be noted and reported.</w:t>
      </w:r>
    </w:p>
    <w:p w:rsidR="00061908" w:rsidRPr="00AD46CF" w:rsidRDefault="00061908" w:rsidP="00061908">
      <w:pPr>
        <w:pStyle w:val="BodyText"/>
        <w:numPr>
          <w:ilvl w:val="0"/>
          <w:numId w:val="1"/>
        </w:numPr>
        <w:spacing w:line="360" w:lineRule="auto"/>
        <w:rPr>
          <w:sz w:val="20"/>
        </w:rPr>
      </w:pPr>
      <w:r w:rsidRPr="00AD46CF">
        <w:rPr>
          <w:sz w:val="20"/>
        </w:rPr>
        <w:t xml:space="preserve">The </w:t>
      </w:r>
      <w:proofErr w:type="spellStart"/>
      <w:r>
        <w:rPr>
          <w:sz w:val="20"/>
        </w:rPr>
        <w:t>sapheno</w:t>
      </w:r>
      <w:proofErr w:type="spellEnd"/>
      <w:r>
        <w:rPr>
          <w:sz w:val="20"/>
        </w:rPr>
        <w:t>-popliteal junction SPJ, (</w:t>
      </w:r>
      <w:r w:rsidRPr="00AD46CF">
        <w:rPr>
          <w:sz w:val="20"/>
        </w:rPr>
        <w:t xml:space="preserve">if present), Giacomini vein (if present), </w:t>
      </w:r>
      <w:r>
        <w:rPr>
          <w:sz w:val="20"/>
        </w:rPr>
        <w:t>short saphenous vein (</w:t>
      </w:r>
      <w:r w:rsidRPr="00AD46CF">
        <w:rPr>
          <w:sz w:val="20"/>
        </w:rPr>
        <w:t>SSV</w:t>
      </w:r>
      <w:r>
        <w:rPr>
          <w:sz w:val="20"/>
        </w:rPr>
        <w:t>)</w:t>
      </w:r>
      <w:r w:rsidRPr="00AD46CF">
        <w:rPr>
          <w:sz w:val="20"/>
        </w:rPr>
        <w:t xml:space="preserve"> and posterior calf perforators (if present) are assessed for competency. If reflux is found, the</w:t>
      </w:r>
      <w:r>
        <w:rPr>
          <w:sz w:val="20"/>
        </w:rPr>
        <w:t xml:space="preserve"> diameter of the</w:t>
      </w:r>
      <w:r w:rsidRPr="00AD46CF">
        <w:rPr>
          <w:sz w:val="20"/>
        </w:rPr>
        <w:t xml:space="preserve"> superficial vein or</w:t>
      </w:r>
      <w:r>
        <w:rPr>
          <w:sz w:val="20"/>
        </w:rPr>
        <w:t xml:space="preserve"> incompetent</w:t>
      </w:r>
      <w:r w:rsidRPr="00AD46CF">
        <w:rPr>
          <w:sz w:val="20"/>
        </w:rPr>
        <w:t xml:space="preserve"> perforator should be noted and reported. If any incompetent perforators are found or if the SPJ is incompetent, the location of these veins in relation to the popliteal skin crease should be noted and reported.</w:t>
      </w:r>
    </w:p>
    <w:p w:rsidR="00061908" w:rsidRPr="00AB34B5" w:rsidRDefault="00061908" w:rsidP="00061908">
      <w:pPr>
        <w:pStyle w:val="BodyText"/>
        <w:spacing w:line="360" w:lineRule="auto"/>
        <w:rPr>
          <w:sz w:val="20"/>
        </w:rPr>
      </w:pPr>
    </w:p>
    <w:p w:rsidR="00061908" w:rsidRPr="00AB34B5" w:rsidRDefault="00061908" w:rsidP="00061908">
      <w:pPr>
        <w:pStyle w:val="BodyText"/>
        <w:spacing w:line="360" w:lineRule="auto"/>
        <w:rPr>
          <w:b/>
          <w:sz w:val="20"/>
          <w:u w:val="single"/>
        </w:rPr>
      </w:pPr>
      <w:r w:rsidRPr="00AB34B5">
        <w:rPr>
          <w:b/>
          <w:sz w:val="20"/>
          <w:u w:val="single"/>
        </w:rPr>
        <w:t>Criteria:</w:t>
      </w:r>
    </w:p>
    <w:p w:rsidR="00061908" w:rsidRDefault="00061908" w:rsidP="00061908">
      <w:pPr>
        <w:pStyle w:val="BodyText"/>
        <w:spacing w:line="360" w:lineRule="auto"/>
        <w:rPr>
          <w:sz w:val="20"/>
        </w:rPr>
      </w:pPr>
      <w:r>
        <w:rPr>
          <w:sz w:val="20"/>
        </w:rPr>
        <w:lastRenderedPageBreak/>
        <w:t xml:space="preserve">Incompetency is </w:t>
      </w:r>
      <w:r w:rsidRPr="00AB34B5">
        <w:rPr>
          <w:sz w:val="20"/>
        </w:rPr>
        <w:t>reflux lasting</w:t>
      </w:r>
      <w:r>
        <w:rPr>
          <w:sz w:val="20"/>
        </w:rPr>
        <w:t xml:space="preserve"> </w:t>
      </w:r>
      <w:r>
        <w:rPr>
          <w:rFonts w:cs="Arial"/>
          <w:sz w:val="20"/>
        </w:rPr>
        <w:t>≥</w:t>
      </w:r>
      <w:r w:rsidRPr="00AB34B5">
        <w:rPr>
          <w:sz w:val="20"/>
        </w:rPr>
        <w:t xml:space="preserve">1 second on PW Doppler.  </w:t>
      </w:r>
    </w:p>
    <w:p w:rsidR="00061908" w:rsidRPr="00AB34B5" w:rsidRDefault="00061908" w:rsidP="00061908">
      <w:pPr>
        <w:pStyle w:val="BodyText"/>
        <w:spacing w:line="360" w:lineRule="auto"/>
        <w:rPr>
          <w:sz w:val="20"/>
        </w:rPr>
      </w:pPr>
    </w:p>
    <w:p w:rsidR="00061908" w:rsidRPr="00251F50" w:rsidRDefault="00061908" w:rsidP="00061908">
      <w:pPr>
        <w:pStyle w:val="BodyText"/>
        <w:spacing w:line="360" w:lineRule="auto"/>
        <w:rPr>
          <w:b/>
          <w:sz w:val="20"/>
        </w:rPr>
      </w:pPr>
      <w:r w:rsidRPr="00251F50">
        <w:rPr>
          <w:b/>
          <w:sz w:val="20"/>
        </w:rPr>
        <w:t>Report:</w:t>
      </w:r>
    </w:p>
    <w:p w:rsidR="00061908" w:rsidRPr="00AB34B5" w:rsidRDefault="00061908" w:rsidP="00061908">
      <w:pPr>
        <w:pStyle w:val="BodyText"/>
        <w:spacing w:line="360" w:lineRule="auto"/>
        <w:rPr>
          <w:b/>
          <w:i/>
          <w:sz w:val="20"/>
        </w:rPr>
      </w:pPr>
      <w:r w:rsidRPr="00AB34B5">
        <w:rPr>
          <w:b/>
          <w:i/>
          <w:sz w:val="20"/>
        </w:rPr>
        <w:t xml:space="preserve">Any patient in whom acute DVT is incidentally found should be brought to the attention of the referring clinician and the Fast Response Team (FRT) </w:t>
      </w:r>
      <w:r>
        <w:rPr>
          <w:b/>
          <w:i/>
          <w:sz w:val="20"/>
        </w:rPr>
        <w:t>at RLH contactable via switchb</w:t>
      </w:r>
      <w:r w:rsidRPr="00AB34B5">
        <w:rPr>
          <w:b/>
          <w:i/>
          <w:sz w:val="20"/>
        </w:rPr>
        <w:t>oa</w:t>
      </w:r>
      <w:r>
        <w:rPr>
          <w:b/>
          <w:i/>
          <w:sz w:val="20"/>
        </w:rPr>
        <w:t>r</w:t>
      </w:r>
      <w:r w:rsidRPr="00AB34B5">
        <w:rPr>
          <w:b/>
          <w:i/>
          <w:sz w:val="20"/>
        </w:rPr>
        <w:t>d – the FRT should be informed of the patient’s DVT before the patient leaves the Vascular Lab, as the patient may need to be seen by the FRT urgently with their Duplex report</w:t>
      </w:r>
      <w:r>
        <w:rPr>
          <w:b/>
          <w:i/>
          <w:sz w:val="20"/>
        </w:rPr>
        <w:t>.</w:t>
      </w:r>
    </w:p>
    <w:p w:rsidR="00061908" w:rsidRDefault="00061908" w:rsidP="00061908">
      <w:pPr>
        <w:pStyle w:val="BodyText"/>
        <w:spacing w:line="360" w:lineRule="auto"/>
        <w:rPr>
          <w:rFonts w:cs="Arial"/>
          <w:sz w:val="20"/>
        </w:rPr>
      </w:pPr>
    </w:p>
    <w:p w:rsidR="00061908" w:rsidRDefault="00061908" w:rsidP="00061908">
      <w:pPr>
        <w:pStyle w:val="BodyText"/>
        <w:spacing w:line="360" w:lineRule="auto"/>
        <w:jc w:val="left"/>
        <w:rPr>
          <w:rFonts w:cs="Arial"/>
          <w:sz w:val="20"/>
        </w:rPr>
      </w:pPr>
      <w:r>
        <w:rPr>
          <w:rFonts w:cs="Arial"/>
          <w:sz w:val="20"/>
        </w:rPr>
        <w:t>Reports will be available on PACS.</w:t>
      </w:r>
    </w:p>
    <w:p w:rsidR="00061908" w:rsidRDefault="00061908" w:rsidP="00061908">
      <w:pPr>
        <w:pStyle w:val="BodyText"/>
        <w:spacing w:line="360" w:lineRule="auto"/>
        <w:jc w:val="left"/>
        <w:rPr>
          <w:sz w:val="20"/>
        </w:rPr>
      </w:pPr>
      <w:r>
        <w:rPr>
          <w:sz w:val="20"/>
        </w:rPr>
        <w:t>Diagrams will be drawn in complex cases and where they add value to the report.</w:t>
      </w:r>
    </w:p>
    <w:p w:rsidR="00061908" w:rsidRDefault="00061908" w:rsidP="00061908">
      <w:pPr>
        <w:pStyle w:val="BodyText"/>
        <w:spacing w:line="360" w:lineRule="auto"/>
        <w:rPr>
          <w:rFonts w:cs="Arial"/>
          <w:sz w:val="20"/>
        </w:rPr>
      </w:pPr>
    </w:p>
    <w:p w:rsidR="00061908" w:rsidRPr="00121AC0" w:rsidRDefault="00061908" w:rsidP="00061908">
      <w:pPr>
        <w:pStyle w:val="BodyText"/>
        <w:spacing w:line="360" w:lineRule="auto"/>
        <w:rPr>
          <w:rFonts w:cs="Arial"/>
          <w:b/>
          <w:sz w:val="20"/>
        </w:rPr>
      </w:pPr>
      <w:r w:rsidRPr="00121AC0">
        <w:rPr>
          <w:rFonts w:cs="Arial"/>
          <w:b/>
          <w:sz w:val="20"/>
        </w:rPr>
        <w:t>Recommen</w:t>
      </w:r>
      <w:r>
        <w:rPr>
          <w:rFonts w:cs="Arial"/>
          <w:b/>
          <w:sz w:val="20"/>
        </w:rPr>
        <w:t>ded images to be stored on PACS:</w:t>
      </w:r>
    </w:p>
    <w:p w:rsidR="00061908" w:rsidRDefault="00061908" w:rsidP="00061908">
      <w:pPr>
        <w:pStyle w:val="BodyText"/>
        <w:numPr>
          <w:ilvl w:val="0"/>
          <w:numId w:val="9"/>
        </w:numPr>
        <w:spacing w:line="360" w:lineRule="auto"/>
        <w:rPr>
          <w:rFonts w:cs="Arial"/>
          <w:sz w:val="20"/>
        </w:rPr>
      </w:pPr>
      <w:r>
        <w:rPr>
          <w:rFonts w:cs="Arial"/>
          <w:sz w:val="20"/>
        </w:rPr>
        <w:t>Spectral Doppler images to show CFV flow, SFV flo</w:t>
      </w:r>
      <w:r w:rsidR="00154FC4">
        <w:rPr>
          <w:rFonts w:cs="Arial"/>
          <w:sz w:val="20"/>
        </w:rPr>
        <w:t>w, popliteal vein flow</w:t>
      </w:r>
      <w:r>
        <w:rPr>
          <w:rFonts w:cs="Arial"/>
          <w:sz w:val="20"/>
        </w:rPr>
        <w:t xml:space="preserve"> and where necessary </w:t>
      </w:r>
      <w:r w:rsidR="00154FC4">
        <w:rPr>
          <w:rFonts w:cs="Arial"/>
          <w:sz w:val="20"/>
        </w:rPr>
        <w:t xml:space="preserve">SFJ / </w:t>
      </w:r>
      <w:r>
        <w:rPr>
          <w:rFonts w:cs="Arial"/>
          <w:sz w:val="20"/>
        </w:rPr>
        <w:t>SPJ flow on distal compression</w:t>
      </w:r>
      <w:r w:rsidR="00154FC4">
        <w:rPr>
          <w:rFonts w:cs="Arial"/>
          <w:sz w:val="20"/>
        </w:rPr>
        <w:t>.</w:t>
      </w:r>
    </w:p>
    <w:p w:rsidR="00061908" w:rsidRDefault="00061908" w:rsidP="00061908">
      <w:pPr>
        <w:pStyle w:val="BodyText"/>
        <w:numPr>
          <w:ilvl w:val="0"/>
          <w:numId w:val="9"/>
        </w:numPr>
        <w:spacing w:line="360" w:lineRule="auto"/>
        <w:rPr>
          <w:rFonts w:cs="Arial"/>
          <w:sz w:val="20"/>
        </w:rPr>
      </w:pPr>
      <w:r>
        <w:rPr>
          <w:rFonts w:cs="Arial"/>
          <w:sz w:val="20"/>
        </w:rPr>
        <w:t xml:space="preserve">Colour / spectral Doppler images of </w:t>
      </w:r>
      <w:r w:rsidR="00462044">
        <w:rPr>
          <w:rFonts w:cs="Arial"/>
          <w:sz w:val="20"/>
        </w:rPr>
        <w:t xml:space="preserve">PFV confluence, </w:t>
      </w:r>
      <w:r w:rsidR="00154FC4">
        <w:rPr>
          <w:rFonts w:cs="Arial"/>
          <w:sz w:val="20"/>
        </w:rPr>
        <w:t xml:space="preserve">SFJ, </w:t>
      </w:r>
      <w:bookmarkStart w:id="0" w:name="_GoBack"/>
      <w:bookmarkEnd w:id="0"/>
      <w:r>
        <w:rPr>
          <w:rFonts w:cs="Arial"/>
          <w:sz w:val="20"/>
        </w:rPr>
        <w:t xml:space="preserve">LSV and SSV competence </w:t>
      </w:r>
    </w:p>
    <w:p w:rsidR="00061908" w:rsidRDefault="00061908" w:rsidP="00061908">
      <w:pPr>
        <w:pStyle w:val="BodyText"/>
        <w:numPr>
          <w:ilvl w:val="0"/>
          <w:numId w:val="9"/>
        </w:numPr>
        <w:spacing w:line="360" w:lineRule="auto"/>
        <w:rPr>
          <w:rFonts w:cs="Arial"/>
          <w:sz w:val="20"/>
        </w:rPr>
      </w:pPr>
      <w:r>
        <w:rPr>
          <w:rFonts w:cs="Arial"/>
          <w:sz w:val="20"/>
        </w:rPr>
        <w:t>Where superficial vein incompetence is detected, store B-mode image of diameter(s) of LSV / SSV</w:t>
      </w:r>
    </w:p>
    <w:p w:rsidR="00061908" w:rsidRDefault="00061908" w:rsidP="00061908">
      <w:pPr>
        <w:pStyle w:val="BodyText"/>
        <w:numPr>
          <w:ilvl w:val="0"/>
          <w:numId w:val="9"/>
        </w:numPr>
        <w:spacing w:line="360" w:lineRule="auto"/>
        <w:rPr>
          <w:rFonts w:cs="Arial"/>
          <w:sz w:val="20"/>
        </w:rPr>
      </w:pPr>
      <w:r>
        <w:rPr>
          <w:rFonts w:cs="Arial"/>
          <w:sz w:val="20"/>
        </w:rPr>
        <w:t>Store images of any other relevant pathology detected</w:t>
      </w:r>
    </w:p>
    <w:p w:rsidR="00061908" w:rsidRPr="009768FB" w:rsidRDefault="00CD54D6" w:rsidP="00061908">
      <w:pPr>
        <w:pStyle w:val="BodyText"/>
        <w:numPr>
          <w:ilvl w:val="0"/>
          <w:numId w:val="9"/>
        </w:numPr>
        <w:spacing w:line="360" w:lineRule="auto"/>
        <w:rPr>
          <w:rFonts w:cs="Arial"/>
          <w:sz w:val="20"/>
        </w:rPr>
      </w:pPr>
      <w:r>
        <w:rPr>
          <w:rFonts w:cs="Arial"/>
          <w:sz w:val="20"/>
        </w:rPr>
        <w:t>NB</w:t>
      </w:r>
      <w:r w:rsidR="00061908">
        <w:rPr>
          <w:rFonts w:cs="Arial"/>
          <w:sz w:val="20"/>
        </w:rPr>
        <w:t>. In a one-stop clinic environment where time is limited, it may be difficult to record all of the above images</w:t>
      </w:r>
    </w:p>
    <w:p w:rsidR="00860998" w:rsidRPr="00EB061B" w:rsidRDefault="00860998" w:rsidP="00061908">
      <w:pPr>
        <w:pStyle w:val="Heading1"/>
        <w:rPr>
          <w:sz w:val="20"/>
        </w:rPr>
      </w:pPr>
    </w:p>
    <w:sectPr w:rsidR="00860998" w:rsidRPr="00EB061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998" w:rsidRDefault="00860998" w:rsidP="00860998">
      <w:r>
        <w:separator/>
      </w:r>
    </w:p>
  </w:endnote>
  <w:endnote w:type="continuationSeparator" w:id="0">
    <w:p w:rsidR="00860998" w:rsidRDefault="00860998" w:rsidP="0086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27" w:type="dxa"/>
      <w:jc w:val="center"/>
      <w:tblInd w:w="-3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560"/>
      <w:gridCol w:w="6793"/>
      <w:gridCol w:w="1174"/>
    </w:tblGrid>
    <w:tr w:rsidR="00860998" w:rsidRPr="00860998" w:rsidTr="00860998">
      <w:trPr>
        <w:trHeight w:val="287"/>
        <w:jc w:val="center"/>
      </w:trPr>
      <w:tc>
        <w:tcPr>
          <w:tcW w:w="1560" w:type="dxa"/>
          <w:shd w:val="clear" w:color="auto" w:fill="auto"/>
          <w:vAlign w:val="center"/>
        </w:tcPr>
        <w:p w:rsidR="00860998" w:rsidRPr="00860998" w:rsidRDefault="00860998" w:rsidP="00860998">
          <w:pPr>
            <w:tabs>
              <w:tab w:val="center" w:pos="4513"/>
              <w:tab w:val="right" w:pos="9026"/>
            </w:tabs>
            <w:rPr>
              <w:rFonts w:ascii="Calibri" w:eastAsia="Calibri" w:hAnsi="Calibri"/>
              <w:sz w:val="16"/>
              <w:szCs w:val="16"/>
            </w:rPr>
          </w:pPr>
          <w:r>
            <w:rPr>
              <w:rFonts w:ascii="Calibri" w:eastAsia="Calibri" w:hAnsi="Calibri"/>
              <w:sz w:val="16"/>
              <w:szCs w:val="16"/>
            </w:rPr>
            <w:t xml:space="preserve">Document number </w:t>
          </w:r>
        </w:p>
      </w:tc>
      <w:tc>
        <w:tcPr>
          <w:tcW w:w="6793" w:type="dxa"/>
          <w:shd w:val="clear" w:color="auto" w:fill="auto"/>
          <w:vAlign w:val="center"/>
        </w:tcPr>
        <w:p w:rsidR="00860998" w:rsidRPr="00860998" w:rsidRDefault="00D92431" w:rsidP="00860998">
          <w:pPr>
            <w:tabs>
              <w:tab w:val="center" w:pos="4513"/>
              <w:tab w:val="right" w:pos="9026"/>
            </w:tabs>
            <w:jc w:val="center"/>
            <w:rPr>
              <w:rFonts w:ascii="Calibri" w:eastAsia="Calibri" w:hAnsi="Calibri"/>
              <w:sz w:val="16"/>
              <w:szCs w:val="16"/>
            </w:rPr>
          </w:pPr>
          <w:r>
            <w:rPr>
              <w:rFonts w:ascii="Calibri" w:eastAsia="Calibri" w:hAnsi="Calibri"/>
              <w:sz w:val="16"/>
              <w:szCs w:val="16"/>
            </w:rPr>
            <w:t>January 2021</w:t>
          </w:r>
        </w:p>
      </w:tc>
      <w:tc>
        <w:tcPr>
          <w:tcW w:w="1174" w:type="dxa"/>
          <w:shd w:val="clear" w:color="auto" w:fill="auto"/>
          <w:vAlign w:val="center"/>
        </w:tcPr>
        <w:p w:rsidR="00860998" w:rsidRPr="00860998" w:rsidRDefault="00860998" w:rsidP="00860998">
          <w:pPr>
            <w:tabs>
              <w:tab w:val="center" w:pos="4513"/>
              <w:tab w:val="right" w:pos="9026"/>
            </w:tabs>
            <w:rPr>
              <w:rFonts w:ascii="Calibri" w:eastAsia="Calibri" w:hAnsi="Calibri"/>
              <w:sz w:val="16"/>
              <w:szCs w:val="16"/>
            </w:rPr>
          </w:pPr>
          <w:r w:rsidRPr="00860998">
            <w:rPr>
              <w:rFonts w:ascii="Calibri" w:eastAsia="Calibri" w:hAnsi="Calibri"/>
              <w:sz w:val="16"/>
              <w:szCs w:val="16"/>
            </w:rPr>
            <w:t xml:space="preserve">Page </w:t>
          </w:r>
          <w:r w:rsidRPr="00860998">
            <w:rPr>
              <w:rFonts w:ascii="Calibri" w:eastAsia="Calibri" w:hAnsi="Calibri"/>
              <w:sz w:val="16"/>
              <w:szCs w:val="16"/>
            </w:rPr>
            <w:fldChar w:fldCharType="begin"/>
          </w:r>
          <w:r w:rsidRPr="00860998">
            <w:rPr>
              <w:rFonts w:ascii="Calibri" w:eastAsia="Calibri" w:hAnsi="Calibri"/>
              <w:sz w:val="16"/>
              <w:szCs w:val="16"/>
            </w:rPr>
            <w:instrText xml:space="preserve"> PAGE </w:instrText>
          </w:r>
          <w:r w:rsidRPr="00860998">
            <w:rPr>
              <w:rFonts w:ascii="Calibri" w:eastAsia="Calibri" w:hAnsi="Calibri"/>
              <w:sz w:val="16"/>
              <w:szCs w:val="16"/>
            </w:rPr>
            <w:fldChar w:fldCharType="separate"/>
          </w:r>
          <w:r w:rsidR="00154FC4">
            <w:rPr>
              <w:rFonts w:ascii="Calibri" w:eastAsia="Calibri" w:hAnsi="Calibri"/>
              <w:noProof/>
              <w:sz w:val="16"/>
              <w:szCs w:val="16"/>
            </w:rPr>
            <w:t>2</w:t>
          </w:r>
          <w:r w:rsidRPr="00860998">
            <w:rPr>
              <w:rFonts w:ascii="Calibri" w:eastAsia="Calibri" w:hAnsi="Calibri"/>
              <w:sz w:val="16"/>
              <w:szCs w:val="16"/>
            </w:rPr>
            <w:fldChar w:fldCharType="end"/>
          </w:r>
          <w:r w:rsidRPr="00860998">
            <w:rPr>
              <w:rFonts w:ascii="Calibri" w:eastAsia="Calibri" w:hAnsi="Calibri"/>
              <w:sz w:val="16"/>
              <w:szCs w:val="16"/>
            </w:rPr>
            <w:t xml:space="preserve"> of </w:t>
          </w:r>
          <w:r w:rsidRPr="00860998">
            <w:rPr>
              <w:rFonts w:ascii="Calibri" w:eastAsia="Calibri" w:hAnsi="Calibri"/>
              <w:sz w:val="16"/>
              <w:szCs w:val="16"/>
            </w:rPr>
            <w:fldChar w:fldCharType="begin"/>
          </w:r>
          <w:r w:rsidRPr="00860998">
            <w:rPr>
              <w:rFonts w:ascii="Calibri" w:eastAsia="Calibri" w:hAnsi="Calibri"/>
              <w:sz w:val="16"/>
              <w:szCs w:val="16"/>
            </w:rPr>
            <w:instrText xml:space="preserve"> NUMPAGES  </w:instrText>
          </w:r>
          <w:r w:rsidRPr="00860998">
            <w:rPr>
              <w:rFonts w:ascii="Calibri" w:eastAsia="Calibri" w:hAnsi="Calibri"/>
              <w:sz w:val="16"/>
              <w:szCs w:val="16"/>
            </w:rPr>
            <w:fldChar w:fldCharType="separate"/>
          </w:r>
          <w:r w:rsidR="00154FC4">
            <w:rPr>
              <w:rFonts w:ascii="Calibri" w:eastAsia="Calibri" w:hAnsi="Calibri"/>
              <w:noProof/>
              <w:sz w:val="16"/>
              <w:szCs w:val="16"/>
            </w:rPr>
            <w:t>2</w:t>
          </w:r>
          <w:r w:rsidRPr="00860998">
            <w:rPr>
              <w:rFonts w:ascii="Calibri" w:eastAsia="Calibri" w:hAnsi="Calibri"/>
              <w:sz w:val="16"/>
              <w:szCs w:val="16"/>
            </w:rPr>
            <w:fldChar w:fldCharType="end"/>
          </w:r>
        </w:p>
      </w:tc>
    </w:tr>
  </w:tbl>
  <w:p w:rsidR="00860998" w:rsidRDefault="008609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998" w:rsidRDefault="00860998" w:rsidP="00860998">
      <w:r>
        <w:separator/>
      </w:r>
    </w:p>
  </w:footnote>
  <w:footnote w:type="continuationSeparator" w:id="0">
    <w:p w:rsidR="00860998" w:rsidRDefault="00860998" w:rsidP="00860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B0E52"/>
    <w:multiLevelType w:val="hybridMultilevel"/>
    <w:tmpl w:val="44725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23D5184"/>
    <w:multiLevelType w:val="singleLevel"/>
    <w:tmpl w:val="08090011"/>
    <w:lvl w:ilvl="0">
      <w:start w:val="1"/>
      <w:numFmt w:val="decimal"/>
      <w:lvlText w:val="%1)"/>
      <w:lvlJc w:val="left"/>
      <w:pPr>
        <w:tabs>
          <w:tab w:val="num" w:pos="360"/>
        </w:tabs>
        <w:ind w:left="360" w:hanging="360"/>
      </w:pPr>
      <w:rPr>
        <w:rFonts w:hint="default"/>
      </w:rPr>
    </w:lvl>
  </w:abstractNum>
  <w:abstractNum w:abstractNumId="2">
    <w:nsid w:val="42B677E8"/>
    <w:multiLevelType w:val="hybridMultilevel"/>
    <w:tmpl w:val="BB449268"/>
    <w:lvl w:ilvl="0" w:tplc="08090001">
      <w:start w:val="4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5E941C3"/>
    <w:multiLevelType w:val="hybridMultilevel"/>
    <w:tmpl w:val="299CC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9051822"/>
    <w:multiLevelType w:val="hybridMultilevel"/>
    <w:tmpl w:val="17BAB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39B257D"/>
    <w:multiLevelType w:val="hybridMultilevel"/>
    <w:tmpl w:val="4CD02CA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562C1D29"/>
    <w:multiLevelType w:val="hybridMultilevel"/>
    <w:tmpl w:val="AA68F4EC"/>
    <w:lvl w:ilvl="0" w:tplc="08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6BB42CAB"/>
    <w:multiLevelType w:val="hybridMultilevel"/>
    <w:tmpl w:val="9B28B55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71675746"/>
    <w:multiLevelType w:val="hybridMultilevel"/>
    <w:tmpl w:val="A40CF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2"/>
  </w:num>
  <w:num w:numId="5">
    <w:abstractNumId w:val="7"/>
  </w:num>
  <w:num w:numId="6">
    <w:abstractNumId w:val="6"/>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98"/>
    <w:rsid w:val="00061908"/>
    <w:rsid w:val="0007779F"/>
    <w:rsid w:val="00091ACC"/>
    <w:rsid w:val="00154FC4"/>
    <w:rsid w:val="001F477D"/>
    <w:rsid w:val="00236221"/>
    <w:rsid w:val="00277720"/>
    <w:rsid w:val="0031389E"/>
    <w:rsid w:val="00416029"/>
    <w:rsid w:val="00462044"/>
    <w:rsid w:val="00860998"/>
    <w:rsid w:val="00987630"/>
    <w:rsid w:val="00B01B18"/>
    <w:rsid w:val="00CD54D6"/>
    <w:rsid w:val="00D92431"/>
    <w:rsid w:val="00EB061B"/>
    <w:rsid w:val="00F357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9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357C5"/>
    <w:pPr>
      <w:keepNext/>
      <w:jc w:val="both"/>
      <w:outlineLvl w:val="0"/>
    </w:pPr>
    <w:rPr>
      <w:rFonts w:ascii="Arial"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998"/>
    <w:rPr>
      <w:rFonts w:ascii="Tahoma" w:hAnsi="Tahoma" w:cs="Tahoma"/>
      <w:sz w:val="16"/>
      <w:szCs w:val="16"/>
    </w:rPr>
  </w:style>
  <w:style w:type="character" w:customStyle="1" w:styleId="BalloonTextChar">
    <w:name w:val="Balloon Text Char"/>
    <w:basedOn w:val="DefaultParagraphFont"/>
    <w:link w:val="BalloonText"/>
    <w:uiPriority w:val="99"/>
    <w:semiHidden/>
    <w:rsid w:val="00860998"/>
    <w:rPr>
      <w:rFonts w:ascii="Tahoma" w:eastAsia="Times New Roman" w:hAnsi="Tahoma" w:cs="Tahoma"/>
      <w:sz w:val="16"/>
      <w:szCs w:val="16"/>
    </w:rPr>
  </w:style>
  <w:style w:type="paragraph" w:styleId="Header">
    <w:name w:val="header"/>
    <w:basedOn w:val="Normal"/>
    <w:link w:val="HeaderChar"/>
    <w:uiPriority w:val="99"/>
    <w:unhideWhenUsed/>
    <w:rsid w:val="00860998"/>
    <w:pPr>
      <w:tabs>
        <w:tab w:val="center" w:pos="4513"/>
        <w:tab w:val="right" w:pos="9026"/>
      </w:tabs>
    </w:pPr>
  </w:style>
  <w:style w:type="character" w:customStyle="1" w:styleId="HeaderChar">
    <w:name w:val="Header Char"/>
    <w:basedOn w:val="DefaultParagraphFont"/>
    <w:link w:val="Header"/>
    <w:uiPriority w:val="99"/>
    <w:rsid w:val="008609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0998"/>
    <w:pPr>
      <w:tabs>
        <w:tab w:val="center" w:pos="4513"/>
        <w:tab w:val="right" w:pos="9026"/>
      </w:tabs>
    </w:pPr>
  </w:style>
  <w:style w:type="character" w:customStyle="1" w:styleId="FooterChar">
    <w:name w:val="Footer Char"/>
    <w:basedOn w:val="DefaultParagraphFont"/>
    <w:link w:val="Footer"/>
    <w:uiPriority w:val="99"/>
    <w:rsid w:val="00860998"/>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357C5"/>
    <w:rPr>
      <w:rFonts w:ascii="Arial" w:eastAsia="Times New Roman" w:hAnsi="Arial" w:cs="Times New Roman"/>
      <w:b/>
      <w:sz w:val="28"/>
      <w:szCs w:val="20"/>
    </w:rPr>
  </w:style>
  <w:style w:type="paragraph" w:styleId="BodyText">
    <w:name w:val="Body Text"/>
    <w:basedOn w:val="Normal"/>
    <w:link w:val="BodyTextChar"/>
    <w:rsid w:val="00F357C5"/>
    <w:pPr>
      <w:jc w:val="both"/>
    </w:pPr>
    <w:rPr>
      <w:rFonts w:ascii="Arial" w:hAnsi="Arial"/>
      <w:sz w:val="22"/>
      <w:szCs w:val="20"/>
    </w:rPr>
  </w:style>
  <w:style w:type="character" w:customStyle="1" w:styleId="BodyTextChar">
    <w:name w:val="Body Text Char"/>
    <w:basedOn w:val="DefaultParagraphFont"/>
    <w:link w:val="BodyText"/>
    <w:rsid w:val="00F357C5"/>
    <w:rPr>
      <w:rFonts w:ascii="Arial" w:eastAsia="Times New Roman" w:hAnsi="Arial" w:cs="Times New Roman"/>
      <w:szCs w:val="20"/>
    </w:rPr>
  </w:style>
  <w:style w:type="paragraph" w:styleId="BodyTextIndent2">
    <w:name w:val="Body Text Indent 2"/>
    <w:basedOn w:val="Normal"/>
    <w:link w:val="BodyTextIndent2Char"/>
    <w:uiPriority w:val="99"/>
    <w:semiHidden/>
    <w:unhideWhenUsed/>
    <w:rsid w:val="00091ACC"/>
    <w:pPr>
      <w:spacing w:after="120" w:line="480" w:lineRule="auto"/>
      <w:ind w:left="283"/>
    </w:pPr>
  </w:style>
  <w:style w:type="character" w:customStyle="1" w:styleId="BodyTextIndent2Char">
    <w:name w:val="Body Text Indent 2 Char"/>
    <w:basedOn w:val="DefaultParagraphFont"/>
    <w:link w:val="BodyTextIndent2"/>
    <w:uiPriority w:val="99"/>
    <w:semiHidden/>
    <w:rsid w:val="00091AC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091ACC"/>
    <w:pPr>
      <w:spacing w:after="120" w:line="480" w:lineRule="auto"/>
    </w:pPr>
  </w:style>
  <w:style w:type="character" w:customStyle="1" w:styleId="BodyText2Char">
    <w:name w:val="Body Text 2 Char"/>
    <w:basedOn w:val="DefaultParagraphFont"/>
    <w:link w:val="BodyText2"/>
    <w:uiPriority w:val="99"/>
    <w:semiHidden/>
    <w:rsid w:val="00091AC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9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357C5"/>
    <w:pPr>
      <w:keepNext/>
      <w:jc w:val="both"/>
      <w:outlineLvl w:val="0"/>
    </w:pPr>
    <w:rPr>
      <w:rFonts w:ascii="Arial"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998"/>
    <w:rPr>
      <w:rFonts w:ascii="Tahoma" w:hAnsi="Tahoma" w:cs="Tahoma"/>
      <w:sz w:val="16"/>
      <w:szCs w:val="16"/>
    </w:rPr>
  </w:style>
  <w:style w:type="character" w:customStyle="1" w:styleId="BalloonTextChar">
    <w:name w:val="Balloon Text Char"/>
    <w:basedOn w:val="DefaultParagraphFont"/>
    <w:link w:val="BalloonText"/>
    <w:uiPriority w:val="99"/>
    <w:semiHidden/>
    <w:rsid w:val="00860998"/>
    <w:rPr>
      <w:rFonts w:ascii="Tahoma" w:eastAsia="Times New Roman" w:hAnsi="Tahoma" w:cs="Tahoma"/>
      <w:sz w:val="16"/>
      <w:szCs w:val="16"/>
    </w:rPr>
  </w:style>
  <w:style w:type="paragraph" w:styleId="Header">
    <w:name w:val="header"/>
    <w:basedOn w:val="Normal"/>
    <w:link w:val="HeaderChar"/>
    <w:uiPriority w:val="99"/>
    <w:unhideWhenUsed/>
    <w:rsid w:val="00860998"/>
    <w:pPr>
      <w:tabs>
        <w:tab w:val="center" w:pos="4513"/>
        <w:tab w:val="right" w:pos="9026"/>
      </w:tabs>
    </w:pPr>
  </w:style>
  <w:style w:type="character" w:customStyle="1" w:styleId="HeaderChar">
    <w:name w:val="Header Char"/>
    <w:basedOn w:val="DefaultParagraphFont"/>
    <w:link w:val="Header"/>
    <w:uiPriority w:val="99"/>
    <w:rsid w:val="008609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0998"/>
    <w:pPr>
      <w:tabs>
        <w:tab w:val="center" w:pos="4513"/>
        <w:tab w:val="right" w:pos="9026"/>
      </w:tabs>
    </w:pPr>
  </w:style>
  <w:style w:type="character" w:customStyle="1" w:styleId="FooterChar">
    <w:name w:val="Footer Char"/>
    <w:basedOn w:val="DefaultParagraphFont"/>
    <w:link w:val="Footer"/>
    <w:uiPriority w:val="99"/>
    <w:rsid w:val="00860998"/>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357C5"/>
    <w:rPr>
      <w:rFonts w:ascii="Arial" w:eastAsia="Times New Roman" w:hAnsi="Arial" w:cs="Times New Roman"/>
      <w:b/>
      <w:sz w:val="28"/>
      <w:szCs w:val="20"/>
    </w:rPr>
  </w:style>
  <w:style w:type="paragraph" w:styleId="BodyText">
    <w:name w:val="Body Text"/>
    <w:basedOn w:val="Normal"/>
    <w:link w:val="BodyTextChar"/>
    <w:rsid w:val="00F357C5"/>
    <w:pPr>
      <w:jc w:val="both"/>
    </w:pPr>
    <w:rPr>
      <w:rFonts w:ascii="Arial" w:hAnsi="Arial"/>
      <w:sz w:val="22"/>
      <w:szCs w:val="20"/>
    </w:rPr>
  </w:style>
  <w:style w:type="character" w:customStyle="1" w:styleId="BodyTextChar">
    <w:name w:val="Body Text Char"/>
    <w:basedOn w:val="DefaultParagraphFont"/>
    <w:link w:val="BodyText"/>
    <w:rsid w:val="00F357C5"/>
    <w:rPr>
      <w:rFonts w:ascii="Arial" w:eastAsia="Times New Roman" w:hAnsi="Arial" w:cs="Times New Roman"/>
      <w:szCs w:val="20"/>
    </w:rPr>
  </w:style>
  <w:style w:type="paragraph" w:styleId="BodyTextIndent2">
    <w:name w:val="Body Text Indent 2"/>
    <w:basedOn w:val="Normal"/>
    <w:link w:val="BodyTextIndent2Char"/>
    <w:uiPriority w:val="99"/>
    <w:semiHidden/>
    <w:unhideWhenUsed/>
    <w:rsid w:val="00091ACC"/>
    <w:pPr>
      <w:spacing w:after="120" w:line="480" w:lineRule="auto"/>
      <w:ind w:left="283"/>
    </w:pPr>
  </w:style>
  <w:style w:type="character" w:customStyle="1" w:styleId="BodyTextIndent2Char">
    <w:name w:val="Body Text Indent 2 Char"/>
    <w:basedOn w:val="DefaultParagraphFont"/>
    <w:link w:val="BodyTextIndent2"/>
    <w:uiPriority w:val="99"/>
    <w:semiHidden/>
    <w:rsid w:val="00091AC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091ACC"/>
    <w:pPr>
      <w:spacing w:after="120" w:line="480" w:lineRule="auto"/>
    </w:pPr>
  </w:style>
  <w:style w:type="character" w:customStyle="1" w:styleId="BodyText2Char">
    <w:name w:val="Body Text 2 Char"/>
    <w:basedOn w:val="DefaultParagraphFont"/>
    <w:link w:val="BodyText2"/>
    <w:uiPriority w:val="99"/>
    <w:semiHidden/>
    <w:rsid w:val="00091AC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uk/url?sa=i&amp;rct=j&amp;q=&amp;esrc=s&amp;source=images&amp;cd=&amp;cad=rja&amp;uact=8&amp;ved=0ahUKEwittvCq0YbOAhUGM8AKHRzwCqYQjRwIBw&amp;url=http://www.ahcs.ac.uk/service-accreditation/iqips/&amp;psig=AFQjCNGLlRwejpeR5KUaTSAhH7TGFgtlww&amp;ust=146926190000950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Barts Health NHS Trust</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Naavalah Ngwa-Ndifor</dc:creator>
  <cp:lastModifiedBy>Crawford, Kate</cp:lastModifiedBy>
  <cp:revision>5</cp:revision>
  <dcterms:created xsi:type="dcterms:W3CDTF">2021-01-05T10:38:00Z</dcterms:created>
  <dcterms:modified xsi:type="dcterms:W3CDTF">2021-01-21T12:24:00Z</dcterms:modified>
</cp:coreProperties>
</file>